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A0590C">
            <w:rPr>
              <w:szCs w:val="26"/>
            </w:rPr>
            <w:fldChar w:fldCharType="begin"/>
          </w:r>
          <w:r w:rsidR="000E5580" w:rsidRPr="00C3566C">
            <w:rPr>
              <w:szCs w:val="26"/>
            </w:rPr>
            <w:instrText xml:space="preserve"> TOC \o "1-3" \h \z \u </w:instrText>
          </w:r>
          <w:r w:rsidRPr="00A0590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A0590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A0590C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  <w:proofErr w:type="spellEnd"/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регионального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>аккредитующие органы.</w:t>
      </w:r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член ГЭК должен прибыть в ППЭ с </w:t>
      </w:r>
      <w:proofErr w:type="spellStart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токеном</w:t>
      </w:r>
      <w:proofErr w:type="spellEnd"/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ЭМ;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>(со штампом образовательной организации, на базе которой организован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Если все данные по всем аудиториям корректны, член ГЭК подключает к станции сканирования в ППЭ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токен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на </w:t>
      </w:r>
      <w:proofErr w:type="spellStart"/>
      <w:r w:rsidRPr="00F829A7">
        <w:rPr>
          <w:rFonts w:ascii="Times New Roman" w:eastAsia="Calibri" w:hAnsi="Times New Roman" w:cs="Times New Roman"/>
          <w:sz w:val="26"/>
          <w:szCs w:val="26"/>
        </w:rPr>
        <w:t>флеш-накопитель</w:t>
      </w:r>
      <w:proofErr w:type="spellEnd"/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proofErr w:type="spellStart"/>
      <w:r w:rsidR="00EB0F2B" w:rsidRPr="00EB0F2B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</w:t>
      </w:r>
      <w:proofErr w:type="spellStart"/>
      <w:r w:rsidRPr="000F3BDB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0F3BD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региональных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место сканирования ЭМ (в случае применения данной 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региональном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, которые направляются на подтверждение (</w:t>
      </w:r>
      <w:proofErr w:type="spellStart"/>
      <w:r w:rsidR="005D75FC" w:rsidRPr="00F829A7">
        <w:rPr>
          <w:rFonts w:ascii="Times New Roman" w:eastAsia="Calibri" w:hAnsi="Times New Roman" w:cs="Times New Roman"/>
          <w:sz w:val="26"/>
          <w:szCs w:val="26"/>
        </w:rPr>
        <w:t>модерацию</w:t>
      </w:r>
      <w:proofErr w:type="spellEnd"/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). После </w:t>
      </w:r>
      <w:proofErr w:type="spellStart"/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proofErr w:type="spellEnd"/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43" w:rsidRDefault="00FC3743" w:rsidP="00CD595C">
      <w:pPr>
        <w:spacing w:after="0" w:line="240" w:lineRule="auto"/>
      </w:pPr>
      <w:r>
        <w:separator/>
      </w:r>
    </w:p>
  </w:endnote>
  <w:endnote w:type="continuationSeparator" w:id="0">
    <w:p w:rsidR="00FC3743" w:rsidRDefault="00FC3743" w:rsidP="00CD595C">
      <w:pPr>
        <w:spacing w:after="0" w:line="240" w:lineRule="auto"/>
      </w:pPr>
      <w:r>
        <w:continuationSeparator/>
      </w:r>
    </w:p>
  </w:endnote>
  <w:endnote w:type="continuationNotice" w:id="1">
    <w:p w:rsidR="00FC3743" w:rsidRDefault="00FC374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7" w:rsidRDefault="00A0590C">
    <w:pPr>
      <w:pStyle w:val="a8"/>
      <w:jc w:val="right"/>
    </w:pPr>
    <w:r>
      <w:fldChar w:fldCharType="begin"/>
    </w:r>
    <w:r w:rsidR="00D24EC7">
      <w:instrText>PAGE   \* MERGEFORMAT</w:instrText>
    </w:r>
    <w:r>
      <w:fldChar w:fldCharType="separate"/>
    </w:r>
    <w:r w:rsidR="008F245A">
      <w:rPr>
        <w:noProof/>
      </w:rPr>
      <w:t>6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43" w:rsidRDefault="00FC3743" w:rsidP="00CD595C">
      <w:pPr>
        <w:spacing w:after="0" w:line="240" w:lineRule="auto"/>
      </w:pPr>
      <w:r>
        <w:separator/>
      </w:r>
    </w:p>
  </w:footnote>
  <w:footnote w:type="continuationSeparator" w:id="0">
    <w:p w:rsidR="00FC3743" w:rsidRDefault="00FC3743" w:rsidP="00CD595C">
      <w:pPr>
        <w:spacing w:after="0" w:line="240" w:lineRule="auto"/>
      </w:pPr>
      <w:r>
        <w:continuationSeparator/>
      </w:r>
    </w:p>
  </w:footnote>
  <w:footnote w:type="continuationNotice" w:id="1">
    <w:p w:rsidR="00FC3743" w:rsidRDefault="00FC3743">
      <w:pPr>
        <w:spacing w:after="0" w:line="240" w:lineRule="auto"/>
      </w:pPr>
    </w:p>
  </w:footnote>
  <w:footnote w:id="2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45A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0590C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6957-77D8-464C-908E-A6415C52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2823E-85D3-49BC-99AC-D01DE4F7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17380</Words>
  <Characters>99066</Characters>
  <Application>Microsoft Office Word</Application>
  <DocSecurity>4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Пшеничная Екатерина</cp:lastModifiedBy>
  <cp:revision>2</cp:revision>
  <cp:lastPrinted>2018-04-26T15:03:00Z</cp:lastPrinted>
  <dcterms:created xsi:type="dcterms:W3CDTF">2019-01-14T07:51:00Z</dcterms:created>
  <dcterms:modified xsi:type="dcterms:W3CDTF">2019-01-14T07:51:00Z</dcterms:modified>
</cp:coreProperties>
</file>